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44354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435475"/>
                    </a:xfrm>
                    <a:prstGeom prst="rect">
                      <a:avLst/>
                    </a:prstGeom>
                    <a:noFill/>
                  </pic:spPr>
                </pic:pic>
              </a:graphicData>
            </a:graphic>
          </wp:anchor>
        </w:drawing>
      </w:r>
    </w:p>
    <w:p>
      <w:pPr>
        <w:spacing w:after="0" w:line="1160"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80" w:type="dxa"/>
            <w:vAlign w:val="bottom"/>
            <w:vMerge w:val="restart"/>
          </w:tcPr>
          <w:p>
            <w:pPr>
              <w:spacing w:after="0"/>
              <w:rPr>
                <w:rFonts w:ascii="Times New Roman" w:cs="Times New Roman" w:eastAsia="Times New Roman" w:hAnsi="Times New Roman"/>
                <w:sz w:val="20"/>
                <w:szCs w:val="20"/>
                <w:color w:val="0000EE"/>
                <w:w w:val="98"/>
              </w:rPr>
            </w:pPr>
            <w:hyperlink r:id="rId13">
              <w:r>
                <w:rPr>
                  <w:rFonts w:ascii="Times New Roman" w:cs="Times New Roman" w:eastAsia="Times New Roman" w:hAnsi="Times New Roman"/>
                  <w:sz w:val="20"/>
                  <w:szCs w:val="20"/>
                  <w:color w:val="0000EE"/>
                  <w:w w:val="98"/>
                </w:rPr>
                <w:t>Hamill Laura</w:t>
              </w:r>
            </w:hyperlink>
          </w:p>
        </w:tc>
        <w:tc>
          <w:tcPr>
            <w:tcW w:w="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tcPr>
          <w:p>
            <w:pPr>
              <w:ind w:left="60"/>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FATE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FATE</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440" w:type="dxa"/>
            <w:vAlign w:val="bottom"/>
            <w:tcBorders>
              <w:bottom w:val="single" w:sz="8" w:color="0000EE"/>
            </w:tcBorders>
          </w:tcPr>
          <w:p>
            <w:pPr>
              <w:spacing w:after="0"/>
              <w:rPr>
                <w:sz w:val="6"/>
                <w:szCs w:val="6"/>
                <w:color w:val="auto"/>
              </w:rPr>
            </w:pPr>
          </w:p>
        </w:tc>
        <w:tc>
          <w:tcPr>
            <w:tcW w:w="134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1080" w:type="dxa"/>
            <w:vAlign w:val="bottom"/>
            <w:tcBorders>
              <w:bottom w:val="single" w:sz="8" w:color="0000EE"/>
            </w:tcBorders>
            <w:vMerge w:val="continue"/>
          </w:tcPr>
          <w:p>
            <w:pPr>
              <w:spacing w:after="0"/>
              <w:rPr>
                <w:sz w:val="5"/>
                <w:szCs w:val="5"/>
                <w:color w:val="auto"/>
              </w:rPr>
            </w:pPr>
          </w:p>
        </w:tc>
        <w:tc>
          <w:tcPr>
            <w:tcW w:w="80" w:type="dxa"/>
            <w:vAlign w:val="bottom"/>
            <w:vMerge w:val="restart"/>
          </w:tcPr>
          <w:p>
            <w:pPr>
              <w:spacing w:after="0"/>
              <w:rPr>
                <w:sz w:val="5"/>
                <w:szCs w:val="5"/>
                <w:color w:val="auto"/>
              </w:rPr>
            </w:pPr>
          </w:p>
        </w:tc>
        <w:tc>
          <w:tcPr>
            <w:tcW w:w="12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4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12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4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126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2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1180" w:type="dxa"/>
            <w:vAlign w:val="bottom"/>
            <w:gridSpan w:val="3"/>
            <w:vMerge w:val="restart"/>
          </w:tcPr>
          <w:p>
            <w:pPr>
              <w:ind w:left="20"/>
              <w:spacing w:after="0"/>
              <w:rPr>
                <w:sz w:val="20"/>
                <w:szCs w:val="20"/>
                <w:color w:val="auto"/>
              </w:rPr>
            </w:pPr>
            <w:r>
              <w:rPr>
                <w:rFonts w:ascii="Arial" w:cs="Arial" w:eastAsia="Arial" w:hAnsi="Arial"/>
                <w:sz w:val="13"/>
                <w:szCs w:val="13"/>
                <w:color w:val="auto"/>
              </w:rPr>
              <w:t>(Last)</w:t>
            </w:r>
          </w:p>
        </w:tc>
        <w:tc>
          <w:tcPr>
            <w:tcW w:w="1260" w:type="dxa"/>
            <w:vAlign w:val="bottom"/>
            <w:vMerge w:val="restart"/>
          </w:tcPr>
          <w:p>
            <w:pPr>
              <w:ind w:left="6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40" w:type="dxa"/>
            <w:vAlign w:val="bottom"/>
            <w:gridSpan w:val="3"/>
            <w:vMerge w:val="continue"/>
          </w:tcPr>
          <w:p>
            <w:pPr>
              <w:spacing w:after="0"/>
              <w:rPr>
                <w:sz w:val="11"/>
                <w:szCs w:val="11"/>
                <w:color w:val="auto"/>
              </w:rPr>
            </w:pPr>
          </w:p>
        </w:tc>
        <w:tc>
          <w:tcPr>
            <w:tcW w:w="1820" w:type="dxa"/>
            <w:vAlign w:val="bottom"/>
          </w:tcPr>
          <w:p>
            <w:pPr>
              <w:ind w:left="58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180" w:type="dxa"/>
            <w:vAlign w:val="bottom"/>
            <w:gridSpan w:val="3"/>
            <w:vMerge w:val="continue"/>
          </w:tcPr>
          <w:p>
            <w:pPr>
              <w:spacing w:after="0"/>
              <w:rPr>
                <w:sz w:val="7"/>
                <w:szCs w:val="7"/>
                <w:color w:val="auto"/>
              </w:rPr>
            </w:pPr>
          </w:p>
        </w:tc>
        <w:tc>
          <w:tcPr>
            <w:tcW w:w="1260" w:type="dxa"/>
            <w:vAlign w:val="bottom"/>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258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06/12/2026</w:t>
            </w:r>
          </w:p>
        </w:tc>
        <w:tc>
          <w:tcPr>
            <w:tcW w:w="134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w w:val="97"/>
              </w:rPr>
              <w:t>C/O FATE THERAPEUTICS, INC.</w:t>
            </w:r>
          </w:p>
        </w:tc>
        <w:tc>
          <w:tcPr>
            <w:tcW w:w="1220" w:type="dxa"/>
            <w:vAlign w:val="bottom"/>
          </w:tcPr>
          <w:p>
            <w:pPr>
              <w:spacing w:after="0"/>
              <w:rPr>
                <w:sz w:val="10"/>
                <w:szCs w:val="10"/>
                <w:color w:val="auto"/>
              </w:rPr>
            </w:pPr>
          </w:p>
        </w:tc>
        <w:tc>
          <w:tcPr>
            <w:tcW w:w="2580" w:type="dxa"/>
            <w:vAlign w:val="bottom"/>
            <w:gridSpan w:val="3"/>
            <w:vMerge w:val="continue"/>
          </w:tcPr>
          <w:p>
            <w:pPr>
              <w:spacing w:after="0"/>
              <w:rPr>
                <w:sz w:val="10"/>
                <w:szCs w:val="10"/>
                <w:color w:val="auto"/>
              </w:rPr>
            </w:pPr>
          </w:p>
        </w:tc>
        <w:tc>
          <w:tcPr>
            <w:tcW w:w="134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440" w:type="dxa"/>
            <w:vAlign w:val="bottom"/>
            <w:gridSpan w:val="4"/>
            <w:vMerge w:val="continue"/>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w w:val="99"/>
              </w:rPr>
              <w:t>12278 SCRIPPS SUMMIT DRIVE</w:t>
            </w: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440" w:type="dxa"/>
            <w:vAlign w:val="bottom"/>
            <w:tcBorders>
              <w:bottom w:val="single" w:sz="8" w:color="2C2C2C"/>
            </w:tcBorders>
          </w:tcPr>
          <w:p>
            <w:pPr>
              <w:spacing w:after="0"/>
              <w:rPr>
                <w:sz w:val="11"/>
                <w:szCs w:val="11"/>
                <w:color w:val="auto"/>
              </w:rPr>
            </w:pPr>
          </w:p>
        </w:tc>
        <w:tc>
          <w:tcPr>
            <w:tcW w:w="134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440" w:type="dxa"/>
            <w:vAlign w:val="bottom"/>
            <w:gridSpan w:val="4"/>
            <w:vMerge w:val="continue"/>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40" w:type="dxa"/>
            <w:vAlign w:val="bottom"/>
            <w:gridSpan w:val="3"/>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17"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DIEGO</w:t>
            </w:r>
          </w:p>
        </w:tc>
        <w:tc>
          <w:tcPr>
            <w:tcW w:w="9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92131</w:t>
            </w:r>
          </w:p>
        </w:tc>
      </w:tr>
      <w:tr>
        <w:trPr>
          <w:trHeight w:val="146"/>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3" w:lineRule="exact"/>
        <w:rPr>
          <w:sz w:val="20"/>
          <w:szCs w:val="20"/>
          <w:color w:val="auto"/>
        </w:rPr>
      </w:pPr>
    </w:p>
    <w:p>
      <w:pPr>
        <w:sectPr>
          <w:pgSz w:w="11900" w:h="16838" w:orient="portrait"/>
          <w:cols w:equalWidth="0" w:num="2">
            <w:col w:w="7540" w:space="720"/>
            <w:col w:w="282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2.06</w:t>
            </w:r>
          </w:p>
        </w:tc>
        <w:tc>
          <w:tcPr>
            <w:tcW w:w="1060" w:type="dxa"/>
            <w:vAlign w:val="bottom"/>
          </w:tcPr>
          <w:p>
            <w:pPr>
              <w:jc w:val="right"/>
              <w:ind w:right="181"/>
              <w:spacing w:after="0"/>
              <w:rPr>
                <w:sz w:val="20"/>
                <w:szCs w:val="20"/>
                <w:color w:val="auto"/>
              </w:rPr>
            </w:pPr>
            <w:r>
              <w:rPr>
                <w:rFonts w:ascii="Times New Roman" w:cs="Times New Roman" w:eastAsia="Times New Roman" w:hAnsi="Times New Roman"/>
                <w:sz w:val="13"/>
                <w:szCs w:val="13"/>
                <w:color w:val="0000FF"/>
              </w:rPr>
              <w:t>06/12/2026</w:t>
            </w:r>
          </w:p>
        </w:tc>
        <w:tc>
          <w:tcPr>
            <w:tcW w:w="1080" w:type="dxa"/>
            <w:vAlign w:val="bottom"/>
          </w:tcPr>
          <w:p>
            <w:pPr>
              <w:spacing w:after="0"/>
              <w:rPr>
                <w:sz w:val="17"/>
                <w:szCs w:val="17"/>
                <w:color w:val="auto"/>
              </w:rPr>
            </w:pPr>
          </w:p>
        </w:tc>
        <w:tc>
          <w:tcPr>
            <w:tcW w:w="780" w:type="dxa"/>
            <w:vAlign w:val="bottom"/>
          </w:tcPr>
          <w:p>
            <w:pPr>
              <w:ind w:left="100"/>
              <w:spacing w:after="0" w:line="203" w:lineRule="exact"/>
              <w:rPr>
                <w:sz w:val="20"/>
                <w:szCs w:val="20"/>
                <w:color w:val="auto"/>
              </w:rPr>
            </w:pPr>
            <w:r>
              <w:rPr>
                <w:rFonts w:ascii="Times New Roman" w:cs="Times New Roman" w:eastAsia="Times New Roman" w:hAnsi="Times New Roman"/>
                <w:sz w:val="23"/>
                <w:szCs w:val="23"/>
                <w:color w:val="0000FF"/>
                <w:vertAlign w:val="subscript"/>
              </w:rPr>
              <w:t>A</w:t>
            </w:r>
            <w:r>
              <w:rPr>
                <w:rFonts w:ascii="Times New Roman" w:cs="Times New Roman" w:eastAsia="Times New Roman" w:hAnsi="Times New Roman"/>
                <w:sz w:val="10"/>
                <w:szCs w:val="10"/>
                <w:color w:val="008000"/>
              </w:rPr>
              <w:t>(1)</w:t>
            </w:r>
          </w:p>
        </w:tc>
        <w:tc>
          <w:tcPr>
            <w:tcW w:w="6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175,800</w:t>
            </w:r>
          </w:p>
        </w:tc>
        <w:tc>
          <w:tcPr>
            <w:tcW w:w="220" w:type="dxa"/>
            <w:vAlign w:val="bottom"/>
          </w:tcPr>
          <w:p>
            <w:pPr>
              <w:spacing w:after="0"/>
              <w:rPr>
                <w:sz w:val="17"/>
                <w:szCs w:val="17"/>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06/12/2036</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175,800</w:t>
            </w:r>
          </w:p>
        </w:tc>
        <w:tc>
          <w:tcPr>
            <w:tcW w:w="68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175,800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ind w:left="18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40" w:right="52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represents a grant of options pursuant to the terms of the Issuer's Amended and Restated Non-Employee Director Compensation Policy which provides for an equity grant upon a director's appointment or election to the Board of Directors.</w:t>
      </w:r>
    </w:p>
    <w:p>
      <w:pPr>
        <w:spacing w:after="0" w:line="19" w:lineRule="exact"/>
        <w:rPr>
          <w:rFonts w:ascii="Times New Roman" w:cs="Times New Roman" w:eastAsia="Times New Roman" w:hAnsi="Times New Roman"/>
          <w:sz w:val="13"/>
          <w:szCs w:val="13"/>
          <w:color w:val="008000"/>
        </w:rPr>
      </w:pPr>
    </w:p>
    <w:p>
      <w:pPr>
        <w:ind w:left="40" w:right="38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this option shall vest in 36 equal monthly installments following June 12, 2026, such that all of the shares shall be fully vested and exercisable on June 12, 2029, subject to the Reporting Person's continuous service to the Issuer as of each such vesting date.</w:t>
      </w:r>
    </w:p>
    <w:p>
      <w:pPr>
        <w:spacing w:after="0" w:line="27"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5"/>
              </w:rPr>
              <w:t>/s/ Cindy Tahl, as Attorney-in-</w:t>
            </w:r>
          </w:p>
        </w:tc>
        <w:tc>
          <w:tcPr>
            <w:tcW w:w="180" w:type="dxa"/>
            <w:vAlign w:val="bottom"/>
          </w:tcPr>
          <w:p>
            <w:pPr>
              <w:spacing w:after="0"/>
              <w:rPr>
                <w:sz w:val="16"/>
                <w:szCs w:val="16"/>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06/15/2026</w:t>
            </w:r>
          </w:p>
        </w:tc>
        <w:tc>
          <w:tcPr>
            <w:tcW w:w="0" w:type="dxa"/>
            <w:vAlign w:val="bottom"/>
          </w:tcPr>
          <w:p>
            <w:pPr>
              <w:spacing w:after="0"/>
              <w:rPr>
                <w:sz w:val="1"/>
                <w:szCs w:val="1"/>
                <w:color w:val="auto"/>
              </w:rPr>
            </w:pPr>
          </w:p>
        </w:tc>
      </w:tr>
      <w:tr>
        <w:trPr>
          <w:trHeight w:val="87"/>
        </w:trPr>
        <w:tc>
          <w:tcPr>
            <w:tcW w:w="280" w:type="dxa"/>
            <w:vAlign w:val="bottom"/>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88"/>
              </w:rPr>
              <w:t>Fact</w:t>
            </w:r>
          </w:p>
        </w:tc>
        <w:tc>
          <w:tcPr>
            <w:tcW w:w="1920" w:type="dxa"/>
            <w:vAlign w:val="bottom"/>
            <w:gridSpan w:val="2"/>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80" w:type="dxa"/>
            <w:vAlign w:val="bottom"/>
            <w:tcBorders>
              <w:bottom w:val="single" w:sz="8" w:color="auto"/>
            </w:tcBorders>
            <w:vMerge w:val="continue"/>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40" w:right="3700"/>
        <w:spacing w:after="0" w:line="331"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51804" TargetMode="External"/><Relationship Id="rId14" Type="http://schemas.openxmlformats.org/officeDocument/2006/relationships/hyperlink" Target="http://www.sec.gov/cgi-bin/browse-edgar?action=getcompany&amp;CIK=00014343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2026-06-15T15:07:10Z</dcterms:created>
  <dcterms:modified xsi:type="dcterms:W3CDTF">2026-06-15T15:07:10Z</dcterms:modified>
</cp:coreProperties>
</file>